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5528" w14:textId="77777777" w:rsidR="00225418" w:rsidRDefault="00225418" w:rsidP="00225418">
      <w:pPr>
        <w:rPr>
          <w:rFonts w:ascii="宋体" w:hAnsi="宋体"/>
          <w:b/>
          <w:kern w:val="44"/>
          <w:sz w:val="28"/>
          <w:szCs w:val="28"/>
        </w:rPr>
      </w:pPr>
      <w:r>
        <w:rPr>
          <w:rFonts w:ascii="宋体" w:hAnsi="宋体" w:hint="eastAsia"/>
          <w:b/>
          <w:kern w:val="44"/>
          <w:sz w:val="28"/>
          <w:szCs w:val="28"/>
        </w:rPr>
        <w:t>附件2</w:t>
      </w:r>
    </w:p>
    <w:p w14:paraId="1255ABF6" w14:textId="77777777" w:rsidR="00225418" w:rsidRDefault="00225418" w:rsidP="00225418">
      <w:pPr>
        <w:jc w:val="center"/>
        <w:rPr>
          <w:rFonts w:ascii="宋体" w:hAnsi="宋体"/>
          <w:sz w:val="28"/>
          <w:szCs w:val="28"/>
        </w:rPr>
      </w:pPr>
      <w:r>
        <w:rPr>
          <w:rFonts w:ascii="宋体" w:hAnsi="宋体" w:hint="eastAsia"/>
          <w:b/>
          <w:kern w:val="44"/>
          <w:sz w:val="28"/>
          <w:szCs w:val="28"/>
        </w:rPr>
        <w:t>综合评分标准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2126"/>
        <w:gridCol w:w="933"/>
        <w:gridCol w:w="5364"/>
      </w:tblGrid>
      <w:tr w:rsidR="00225418" w14:paraId="2578617C" w14:textId="77777777" w:rsidTr="00217DDF">
        <w:trPr>
          <w:trHeight w:val="591"/>
          <w:jc w:val="center"/>
        </w:trPr>
        <w:tc>
          <w:tcPr>
            <w:tcW w:w="905" w:type="dxa"/>
            <w:vAlign w:val="center"/>
          </w:tcPr>
          <w:p w14:paraId="7BB2BA54" w14:textId="77777777" w:rsidR="00225418" w:rsidRDefault="00225418" w:rsidP="00217DDF">
            <w:pPr>
              <w:widowControl/>
              <w:spacing w:line="360" w:lineRule="exact"/>
              <w:jc w:val="center"/>
              <w:rPr>
                <w:rFonts w:ascii="黑体" w:eastAsia="黑体" w:hAnsi="黑体" w:cs="小标宋"/>
                <w:sz w:val="28"/>
                <w:szCs w:val="28"/>
              </w:rPr>
            </w:pPr>
            <w:r>
              <w:rPr>
                <w:rFonts w:ascii="黑体" w:eastAsia="黑体" w:hAnsi="黑体" w:cs="小标宋" w:hint="eastAsia"/>
                <w:sz w:val="28"/>
                <w:szCs w:val="28"/>
              </w:rPr>
              <w:t>序号</w:t>
            </w:r>
          </w:p>
        </w:tc>
        <w:tc>
          <w:tcPr>
            <w:tcW w:w="2126" w:type="dxa"/>
            <w:vAlign w:val="center"/>
          </w:tcPr>
          <w:p w14:paraId="12A3310A" w14:textId="77777777" w:rsidR="00225418" w:rsidRDefault="00225418" w:rsidP="00217DDF">
            <w:pPr>
              <w:widowControl/>
              <w:spacing w:line="360" w:lineRule="exact"/>
              <w:jc w:val="center"/>
              <w:rPr>
                <w:rFonts w:ascii="黑体" w:eastAsia="黑体" w:hAnsi="黑体" w:cs="小标宋"/>
                <w:sz w:val="28"/>
                <w:szCs w:val="28"/>
              </w:rPr>
            </w:pPr>
            <w:r>
              <w:rPr>
                <w:rFonts w:ascii="黑体" w:eastAsia="黑体" w:hAnsi="黑体" w:cs="小标宋" w:hint="eastAsia"/>
                <w:sz w:val="28"/>
                <w:szCs w:val="28"/>
              </w:rPr>
              <w:t>评分指标</w:t>
            </w:r>
          </w:p>
        </w:tc>
        <w:tc>
          <w:tcPr>
            <w:tcW w:w="933" w:type="dxa"/>
            <w:vAlign w:val="center"/>
          </w:tcPr>
          <w:p w14:paraId="199CFE50" w14:textId="77777777" w:rsidR="00225418" w:rsidRDefault="00225418" w:rsidP="00217DDF">
            <w:pPr>
              <w:widowControl/>
              <w:spacing w:line="360" w:lineRule="exact"/>
              <w:jc w:val="center"/>
              <w:rPr>
                <w:rFonts w:ascii="黑体" w:eastAsia="黑体" w:hAnsi="黑体" w:cs="小标宋"/>
                <w:sz w:val="28"/>
                <w:szCs w:val="28"/>
              </w:rPr>
            </w:pPr>
            <w:r>
              <w:rPr>
                <w:rFonts w:ascii="黑体" w:eastAsia="黑体" w:hAnsi="黑体" w:cs="小标宋" w:hint="eastAsia"/>
                <w:sz w:val="28"/>
                <w:szCs w:val="28"/>
              </w:rPr>
              <w:t>权重</w:t>
            </w:r>
          </w:p>
        </w:tc>
        <w:tc>
          <w:tcPr>
            <w:tcW w:w="5364" w:type="dxa"/>
            <w:vAlign w:val="center"/>
          </w:tcPr>
          <w:p w14:paraId="36D506F3" w14:textId="77777777" w:rsidR="00225418" w:rsidRDefault="00225418" w:rsidP="00217DDF">
            <w:pPr>
              <w:widowControl/>
              <w:spacing w:line="360" w:lineRule="exact"/>
              <w:jc w:val="center"/>
              <w:rPr>
                <w:rFonts w:ascii="黑体" w:eastAsia="黑体" w:hAnsi="黑体" w:cs="小标宋"/>
                <w:sz w:val="28"/>
                <w:szCs w:val="28"/>
              </w:rPr>
            </w:pPr>
            <w:r>
              <w:rPr>
                <w:rFonts w:ascii="黑体" w:eastAsia="黑体" w:hAnsi="黑体" w:cs="小标宋" w:hint="eastAsia"/>
                <w:sz w:val="28"/>
                <w:szCs w:val="28"/>
              </w:rPr>
              <w:t>评分内容及分值</w:t>
            </w:r>
          </w:p>
        </w:tc>
      </w:tr>
      <w:tr w:rsidR="00225418" w14:paraId="44A563C7" w14:textId="77777777" w:rsidTr="00217DDF">
        <w:trPr>
          <w:trHeight w:val="965"/>
          <w:jc w:val="center"/>
        </w:trPr>
        <w:tc>
          <w:tcPr>
            <w:tcW w:w="905" w:type="dxa"/>
            <w:vAlign w:val="center"/>
          </w:tcPr>
          <w:p w14:paraId="16409749"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1</w:t>
            </w:r>
          </w:p>
        </w:tc>
        <w:tc>
          <w:tcPr>
            <w:tcW w:w="2126" w:type="dxa"/>
            <w:vAlign w:val="center"/>
          </w:tcPr>
          <w:p w14:paraId="46F878B4"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申报单位</w:t>
            </w:r>
          </w:p>
          <w:p w14:paraId="453B592C"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履约能力</w:t>
            </w:r>
          </w:p>
        </w:tc>
        <w:tc>
          <w:tcPr>
            <w:tcW w:w="933" w:type="dxa"/>
            <w:vAlign w:val="center"/>
          </w:tcPr>
          <w:p w14:paraId="10D8C747"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25</w:t>
            </w:r>
          </w:p>
        </w:tc>
        <w:tc>
          <w:tcPr>
            <w:tcW w:w="5364" w:type="dxa"/>
            <w:vAlign w:val="center"/>
          </w:tcPr>
          <w:p w14:paraId="67619D8C" w14:textId="77777777" w:rsidR="00225418" w:rsidRDefault="00225418" w:rsidP="00217DDF">
            <w:pPr>
              <w:spacing w:line="360" w:lineRule="auto"/>
              <w:rPr>
                <w:rFonts w:ascii="楷体" w:eastAsia="楷体" w:hAnsi="楷体" w:cs="宋体"/>
                <w:color w:val="000000"/>
                <w:kern w:val="0"/>
                <w:sz w:val="24"/>
              </w:rPr>
            </w:pPr>
            <w:r>
              <w:rPr>
                <w:rFonts w:ascii="楷体" w:eastAsia="楷体" w:hAnsi="楷体" w:cs="宋体" w:hint="eastAsia"/>
                <w:color w:val="000000"/>
                <w:kern w:val="0"/>
                <w:sz w:val="24"/>
              </w:rPr>
              <w:t>1.具有有效期内的网络安全等级测评与检测评估机构服务认证、中国合格认定国家认可委员会颁发的检验检测机构认可证书、中国合格评定国家认可委员会实验室认可证书，得9分，每提供一项得3分；</w:t>
            </w:r>
          </w:p>
          <w:p w14:paraId="26E5EAE3" w14:textId="77777777" w:rsidR="00225418" w:rsidRDefault="00225418" w:rsidP="00217DDF">
            <w:pPr>
              <w:spacing w:line="360" w:lineRule="auto"/>
              <w:rPr>
                <w:rFonts w:ascii="楷体" w:eastAsia="楷体" w:hAnsi="楷体" w:cs="宋体"/>
                <w:color w:val="000000"/>
                <w:kern w:val="0"/>
                <w:sz w:val="24"/>
              </w:rPr>
            </w:pPr>
            <w:r>
              <w:rPr>
                <w:rFonts w:ascii="楷体" w:eastAsia="楷体" w:hAnsi="楷体" w:cs="宋体" w:hint="eastAsia"/>
                <w:color w:val="000000"/>
                <w:kern w:val="0"/>
                <w:sz w:val="24"/>
              </w:rPr>
              <w:t>2.具有中国国家认证认可监督管理机构颁发的检验检测机构资质认定证书（CMA）、通信网络安全服务能力评定证书，得4分，每提供一项得2分；</w:t>
            </w:r>
          </w:p>
          <w:p w14:paraId="5D70D6F0" w14:textId="77777777" w:rsidR="00225418" w:rsidRDefault="00225418" w:rsidP="00217DDF">
            <w:pPr>
              <w:spacing w:line="360" w:lineRule="auto"/>
              <w:rPr>
                <w:rFonts w:ascii="楷体" w:eastAsia="楷体" w:hAnsi="楷体" w:cs="宋体"/>
                <w:color w:val="000000"/>
                <w:kern w:val="0"/>
                <w:sz w:val="24"/>
              </w:rPr>
            </w:pPr>
            <w:r>
              <w:rPr>
                <w:rFonts w:ascii="楷体" w:eastAsia="楷体" w:hAnsi="楷体" w:cs="宋体" w:hint="eastAsia"/>
                <w:color w:val="000000"/>
                <w:kern w:val="0"/>
                <w:sz w:val="24"/>
              </w:rPr>
              <w:t>3.具有ISO9001质量管理体系认证证书、ISO27001信息安全管理体系认证证书、ISO20000管理体系认证，得</w:t>
            </w:r>
            <w:r>
              <w:rPr>
                <w:rFonts w:ascii="楷体" w:eastAsia="楷体" w:hAnsi="楷体" w:cs="宋体"/>
                <w:color w:val="000000"/>
                <w:kern w:val="0"/>
                <w:sz w:val="24"/>
              </w:rPr>
              <w:t>6</w:t>
            </w:r>
            <w:r>
              <w:rPr>
                <w:rFonts w:ascii="楷体" w:eastAsia="楷体" w:hAnsi="楷体" w:cs="宋体" w:hint="eastAsia"/>
                <w:color w:val="000000"/>
                <w:kern w:val="0"/>
                <w:sz w:val="24"/>
              </w:rPr>
              <w:t>分，每提供一项得2分；</w:t>
            </w:r>
          </w:p>
          <w:p w14:paraId="4CF2922C" w14:textId="77777777" w:rsidR="00225418" w:rsidRDefault="00225418" w:rsidP="00217DDF">
            <w:pPr>
              <w:spacing w:line="360" w:lineRule="auto"/>
              <w:rPr>
                <w:rFonts w:ascii="楷体" w:eastAsia="楷体" w:hAnsi="楷体" w:cs="宋体"/>
                <w:color w:val="000000"/>
                <w:kern w:val="0"/>
                <w:sz w:val="24"/>
              </w:rPr>
            </w:pPr>
            <w:r>
              <w:rPr>
                <w:rFonts w:ascii="楷体" w:eastAsia="楷体" w:hAnsi="楷体" w:cs="宋体" w:hint="eastAsia"/>
                <w:color w:val="000000"/>
                <w:kern w:val="0"/>
                <w:sz w:val="24"/>
              </w:rPr>
              <w:t>4.具有中国信息安全认证中心颁发的信息安全服务资质认证证书（信息安全风险评估二级以上），得</w:t>
            </w:r>
            <w:r>
              <w:rPr>
                <w:rFonts w:ascii="楷体" w:eastAsia="楷体" w:hAnsi="楷体" w:cs="宋体"/>
                <w:color w:val="000000"/>
                <w:kern w:val="0"/>
                <w:sz w:val="24"/>
              </w:rPr>
              <w:t>3</w:t>
            </w:r>
            <w:r>
              <w:rPr>
                <w:rFonts w:ascii="楷体" w:eastAsia="楷体" w:hAnsi="楷体" w:cs="宋体" w:hint="eastAsia"/>
                <w:color w:val="000000"/>
                <w:kern w:val="0"/>
                <w:sz w:val="24"/>
              </w:rPr>
              <w:t>分，没有不得分；</w:t>
            </w:r>
          </w:p>
          <w:p w14:paraId="10DE8BC9" w14:textId="77777777" w:rsidR="00225418" w:rsidRDefault="00225418" w:rsidP="00217DDF">
            <w:pPr>
              <w:spacing w:line="360" w:lineRule="auto"/>
              <w:rPr>
                <w:rFonts w:ascii="楷体" w:eastAsia="楷体" w:hAnsi="楷体" w:cs="宋体"/>
                <w:color w:val="000000"/>
                <w:kern w:val="0"/>
                <w:sz w:val="24"/>
              </w:rPr>
            </w:pPr>
            <w:r>
              <w:rPr>
                <w:rFonts w:ascii="楷体" w:eastAsia="楷体" w:hAnsi="楷体" w:cs="宋体" w:hint="eastAsia"/>
                <w:color w:val="000000"/>
                <w:kern w:val="0"/>
                <w:sz w:val="24"/>
              </w:rPr>
              <w:t>5.近五年均未</w:t>
            </w:r>
            <w:proofErr w:type="gramStart"/>
            <w:r>
              <w:rPr>
                <w:rFonts w:ascii="楷体" w:eastAsia="楷体" w:hAnsi="楷体" w:cs="宋体" w:hint="eastAsia"/>
                <w:color w:val="000000"/>
                <w:kern w:val="0"/>
                <w:sz w:val="24"/>
              </w:rPr>
              <w:t>进入等保机构</w:t>
            </w:r>
            <w:proofErr w:type="gramEnd"/>
            <w:r>
              <w:rPr>
                <w:rFonts w:ascii="楷体" w:eastAsia="楷体" w:hAnsi="楷体" w:cs="宋体" w:hint="eastAsia"/>
                <w:color w:val="000000"/>
                <w:kern w:val="0"/>
                <w:sz w:val="24"/>
              </w:rPr>
              <w:t>整改名单，得3分，不满足不得分。</w:t>
            </w:r>
          </w:p>
        </w:tc>
      </w:tr>
      <w:tr w:rsidR="00225418" w14:paraId="770B70BF" w14:textId="77777777" w:rsidTr="00217DDF">
        <w:trPr>
          <w:trHeight w:val="2003"/>
          <w:jc w:val="center"/>
        </w:trPr>
        <w:tc>
          <w:tcPr>
            <w:tcW w:w="905" w:type="dxa"/>
            <w:vAlign w:val="center"/>
          </w:tcPr>
          <w:p w14:paraId="17F1A741"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2</w:t>
            </w:r>
          </w:p>
        </w:tc>
        <w:tc>
          <w:tcPr>
            <w:tcW w:w="2126" w:type="dxa"/>
            <w:vAlign w:val="center"/>
          </w:tcPr>
          <w:p w14:paraId="2CAA39E9"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业绩案例</w:t>
            </w:r>
          </w:p>
        </w:tc>
        <w:tc>
          <w:tcPr>
            <w:tcW w:w="933" w:type="dxa"/>
            <w:vAlign w:val="center"/>
          </w:tcPr>
          <w:p w14:paraId="197C7C8F"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15</w:t>
            </w:r>
          </w:p>
        </w:tc>
        <w:tc>
          <w:tcPr>
            <w:tcW w:w="5364" w:type="dxa"/>
            <w:vAlign w:val="center"/>
          </w:tcPr>
          <w:p w14:paraId="57C3366A"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申报单位提供近五年内类似与本项目服务相关的业绩案例（承担过第三方软件测试的案例）。每提供1个得3分，最多得15分，未提供不得分。</w:t>
            </w:r>
          </w:p>
        </w:tc>
      </w:tr>
      <w:tr w:rsidR="00225418" w14:paraId="1CEF3319" w14:textId="77777777" w:rsidTr="00217DDF">
        <w:trPr>
          <w:trHeight w:val="1020"/>
          <w:jc w:val="center"/>
        </w:trPr>
        <w:tc>
          <w:tcPr>
            <w:tcW w:w="905" w:type="dxa"/>
            <w:vAlign w:val="center"/>
          </w:tcPr>
          <w:p w14:paraId="0CF15357"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3</w:t>
            </w:r>
          </w:p>
        </w:tc>
        <w:tc>
          <w:tcPr>
            <w:tcW w:w="2126" w:type="dxa"/>
            <w:vAlign w:val="center"/>
          </w:tcPr>
          <w:p w14:paraId="2116DF23"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服务方案</w:t>
            </w:r>
          </w:p>
        </w:tc>
        <w:tc>
          <w:tcPr>
            <w:tcW w:w="933" w:type="dxa"/>
            <w:vAlign w:val="center"/>
          </w:tcPr>
          <w:p w14:paraId="057B13D7"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25</w:t>
            </w:r>
          </w:p>
        </w:tc>
        <w:tc>
          <w:tcPr>
            <w:tcW w:w="5364" w:type="dxa"/>
            <w:vAlign w:val="center"/>
          </w:tcPr>
          <w:p w14:paraId="5DB4D594"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申报单位针对系统第三方测试服务提供相应的详细服务方案。</w:t>
            </w:r>
          </w:p>
          <w:p w14:paraId="7D726AA0"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完全满足或优于采购人要求，具备针对性，可操作性强，得20-25分；</w:t>
            </w:r>
          </w:p>
          <w:p w14:paraId="2971707E"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lastRenderedPageBreak/>
              <w:t>仅部分满足采购人要求，方案通用，可操作性一般，得9-19分；</w:t>
            </w:r>
          </w:p>
          <w:p w14:paraId="7FF548B1"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照搬需求或与本项目无关或未提供，得0-8分。</w:t>
            </w:r>
          </w:p>
          <w:p w14:paraId="7FF2B3F8" w14:textId="77777777" w:rsidR="00225418" w:rsidRDefault="00225418" w:rsidP="00217DDF">
            <w:pPr>
              <w:spacing w:line="360" w:lineRule="auto"/>
              <w:jc w:val="left"/>
              <w:rPr>
                <w:rFonts w:ascii="楷体" w:eastAsia="楷体" w:hAnsi="楷体" w:cs="宋体"/>
                <w:color w:val="000000"/>
                <w:kern w:val="0"/>
                <w:sz w:val="24"/>
              </w:rPr>
            </w:pPr>
          </w:p>
        </w:tc>
      </w:tr>
      <w:tr w:rsidR="00225418" w14:paraId="5D47DD08" w14:textId="77777777" w:rsidTr="00217DDF">
        <w:trPr>
          <w:trHeight w:val="3822"/>
          <w:jc w:val="center"/>
        </w:trPr>
        <w:tc>
          <w:tcPr>
            <w:tcW w:w="905" w:type="dxa"/>
            <w:vAlign w:val="center"/>
          </w:tcPr>
          <w:p w14:paraId="1F87FF41"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lastRenderedPageBreak/>
              <w:t>4</w:t>
            </w:r>
          </w:p>
        </w:tc>
        <w:tc>
          <w:tcPr>
            <w:tcW w:w="2126" w:type="dxa"/>
            <w:vAlign w:val="center"/>
          </w:tcPr>
          <w:p w14:paraId="3F582ACB"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技术支持及售后服务</w:t>
            </w:r>
          </w:p>
        </w:tc>
        <w:tc>
          <w:tcPr>
            <w:tcW w:w="933" w:type="dxa"/>
            <w:vAlign w:val="center"/>
          </w:tcPr>
          <w:p w14:paraId="346E80D8"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5</w:t>
            </w:r>
          </w:p>
        </w:tc>
        <w:tc>
          <w:tcPr>
            <w:tcW w:w="5364" w:type="dxa"/>
            <w:vAlign w:val="center"/>
          </w:tcPr>
          <w:p w14:paraId="0E51A2CF"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售后服务方案全面细致、可行性强、针对性强，可提供快速售后响应服务，可行性强，得5分；</w:t>
            </w:r>
          </w:p>
          <w:p w14:paraId="6CDF857C"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售后服务方案较全面细致、具有可行性、基本针对本项目，可提供售后响应服务，具有可行性，得3分；</w:t>
            </w:r>
          </w:p>
          <w:p w14:paraId="5610DF48"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售后服务方案不够全面细致、不具有可行性、不具有针对性，不具有可行性，得1分；</w:t>
            </w:r>
          </w:p>
          <w:p w14:paraId="6052A319"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未提供售后服务方案，不得分。</w:t>
            </w:r>
          </w:p>
        </w:tc>
      </w:tr>
      <w:tr w:rsidR="00225418" w14:paraId="3AC95EDF" w14:textId="77777777" w:rsidTr="00217DDF">
        <w:trPr>
          <w:trHeight w:val="1020"/>
          <w:jc w:val="center"/>
        </w:trPr>
        <w:tc>
          <w:tcPr>
            <w:tcW w:w="905" w:type="dxa"/>
            <w:vAlign w:val="center"/>
          </w:tcPr>
          <w:p w14:paraId="28F76BC7"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5</w:t>
            </w:r>
          </w:p>
        </w:tc>
        <w:tc>
          <w:tcPr>
            <w:tcW w:w="2126" w:type="dxa"/>
            <w:vAlign w:val="center"/>
          </w:tcPr>
          <w:p w14:paraId="36EE6C0A"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服务团队</w:t>
            </w:r>
          </w:p>
        </w:tc>
        <w:tc>
          <w:tcPr>
            <w:tcW w:w="933" w:type="dxa"/>
            <w:vAlign w:val="center"/>
          </w:tcPr>
          <w:p w14:paraId="73B37EB1"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10</w:t>
            </w:r>
          </w:p>
        </w:tc>
        <w:tc>
          <w:tcPr>
            <w:tcW w:w="5364" w:type="dxa"/>
            <w:vAlign w:val="center"/>
          </w:tcPr>
          <w:p w14:paraId="48103BF2"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1.拟投入到本项目中的项目经理具备项目管理专业人士资格认证（PMP）证书或具备CISP证书的得2分；</w:t>
            </w:r>
          </w:p>
          <w:p w14:paraId="31D87F44"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2.拟投入到本项目中的技术人员中具备高级信息系统项目管理师证书的，每人得1分，最高得2分；</w:t>
            </w:r>
          </w:p>
          <w:p w14:paraId="59973110"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color w:val="000000"/>
                <w:kern w:val="0"/>
                <w:sz w:val="24"/>
              </w:rPr>
              <w:t>3</w:t>
            </w:r>
            <w:r>
              <w:rPr>
                <w:rFonts w:ascii="楷体" w:eastAsia="楷体" w:hAnsi="楷体" w:cs="宋体" w:hint="eastAsia"/>
                <w:color w:val="000000"/>
                <w:kern w:val="0"/>
                <w:sz w:val="24"/>
              </w:rPr>
              <w:t>.</w:t>
            </w:r>
            <w:proofErr w:type="gramStart"/>
            <w:r>
              <w:rPr>
                <w:rFonts w:ascii="楷体" w:eastAsia="楷体" w:hAnsi="楷体" w:cs="宋体" w:hint="eastAsia"/>
                <w:color w:val="000000"/>
                <w:kern w:val="0"/>
                <w:sz w:val="24"/>
              </w:rPr>
              <w:t>除项目</w:t>
            </w:r>
            <w:proofErr w:type="gramEnd"/>
            <w:r>
              <w:rPr>
                <w:rFonts w:ascii="楷体" w:eastAsia="楷体" w:hAnsi="楷体" w:cs="宋体" w:hint="eastAsia"/>
                <w:color w:val="000000"/>
                <w:kern w:val="0"/>
                <w:sz w:val="24"/>
              </w:rPr>
              <w:t>经理外，另具有2名（含）以上高级</w:t>
            </w:r>
            <w:proofErr w:type="gramStart"/>
            <w:r>
              <w:rPr>
                <w:rFonts w:ascii="楷体" w:eastAsia="楷体" w:hAnsi="楷体" w:cs="宋体" w:hint="eastAsia"/>
                <w:color w:val="000000"/>
                <w:kern w:val="0"/>
                <w:sz w:val="24"/>
              </w:rPr>
              <w:t>等保测评师</w:t>
            </w:r>
            <w:proofErr w:type="gramEnd"/>
            <w:r>
              <w:rPr>
                <w:rFonts w:ascii="楷体" w:eastAsia="楷体" w:hAnsi="楷体" w:cs="宋体" w:hint="eastAsia"/>
                <w:color w:val="000000"/>
                <w:kern w:val="0"/>
                <w:sz w:val="24"/>
              </w:rPr>
              <w:t>作为项目技术指导，得3分；</w:t>
            </w:r>
          </w:p>
          <w:p w14:paraId="18421918"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color w:val="000000"/>
                <w:kern w:val="0"/>
                <w:sz w:val="24"/>
              </w:rPr>
              <w:t>4.</w:t>
            </w:r>
            <w:r>
              <w:rPr>
                <w:rFonts w:ascii="楷体" w:eastAsia="楷体" w:hAnsi="楷体" w:cs="宋体" w:hint="eastAsia"/>
                <w:color w:val="000000"/>
                <w:kern w:val="0"/>
                <w:sz w:val="24"/>
              </w:rPr>
              <w:t>拟派本项目测评工程师中，2人（含）以上具有软件测评师资质证书，得3分，只有1人满足条件得1分。</w:t>
            </w:r>
          </w:p>
        </w:tc>
      </w:tr>
      <w:tr w:rsidR="00225418" w14:paraId="2AC58E32" w14:textId="77777777" w:rsidTr="00217DDF">
        <w:trPr>
          <w:trHeight w:val="452"/>
          <w:jc w:val="center"/>
        </w:trPr>
        <w:tc>
          <w:tcPr>
            <w:tcW w:w="905" w:type="dxa"/>
            <w:vAlign w:val="center"/>
          </w:tcPr>
          <w:p w14:paraId="5A4970D8"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6</w:t>
            </w:r>
          </w:p>
        </w:tc>
        <w:tc>
          <w:tcPr>
            <w:tcW w:w="2126" w:type="dxa"/>
            <w:vAlign w:val="center"/>
          </w:tcPr>
          <w:p w14:paraId="4E7AF485"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实施本项目的报价</w:t>
            </w:r>
          </w:p>
        </w:tc>
        <w:tc>
          <w:tcPr>
            <w:tcW w:w="933" w:type="dxa"/>
            <w:vAlign w:val="center"/>
          </w:tcPr>
          <w:p w14:paraId="5E037B4A" w14:textId="77777777" w:rsidR="00225418" w:rsidRDefault="00225418" w:rsidP="00217DDF">
            <w:pPr>
              <w:spacing w:line="360" w:lineRule="auto"/>
              <w:jc w:val="center"/>
              <w:rPr>
                <w:rFonts w:ascii="楷体" w:eastAsia="楷体" w:hAnsi="楷体" w:cs="宋体"/>
                <w:color w:val="000000"/>
                <w:kern w:val="0"/>
                <w:sz w:val="24"/>
              </w:rPr>
            </w:pPr>
            <w:r>
              <w:rPr>
                <w:rFonts w:ascii="楷体" w:eastAsia="楷体" w:hAnsi="楷体" w:cs="宋体" w:hint="eastAsia"/>
                <w:color w:val="000000"/>
                <w:kern w:val="0"/>
                <w:sz w:val="24"/>
              </w:rPr>
              <w:t>20</w:t>
            </w:r>
          </w:p>
        </w:tc>
        <w:tc>
          <w:tcPr>
            <w:tcW w:w="5364" w:type="dxa"/>
            <w:vAlign w:val="center"/>
          </w:tcPr>
          <w:p w14:paraId="469DB214" w14:textId="77777777" w:rsidR="00225418" w:rsidRDefault="00225418" w:rsidP="00217DDF">
            <w:pPr>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满足申报文件要求且申报价格最低的报价为评标基准价，得满分20分。其他申报人的价格按下列公式计算：申报报价得分=（评标基准价/申报报价）×20%×100。</w:t>
            </w:r>
          </w:p>
        </w:tc>
      </w:tr>
    </w:tbl>
    <w:p w14:paraId="01DBD394" w14:textId="77777777" w:rsidR="00696D97" w:rsidRPr="00225418" w:rsidRDefault="00696D97"/>
    <w:sectPr w:rsidR="00696D97" w:rsidRPr="00225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C425" w14:textId="77777777" w:rsidR="00225418" w:rsidRDefault="00225418" w:rsidP="00225418">
      <w:r>
        <w:separator/>
      </w:r>
    </w:p>
  </w:endnote>
  <w:endnote w:type="continuationSeparator" w:id="0">
    <w:p w14:paraId="6C545E77" w14:textId="77777777" w:rsidR="00225418" w:rsidRDefault="00225418" w:rsidP="002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D303" w14:textId="77777777" w:rsidR="00225418" w:rsidRDefault="00225418" w:rsidP="00225418">
      <w:r>
        <w:separator/>
      </w:r>
    </w:p>
  </w:footnote>
  <w:footnote w:type="continuationSeparator" w:id="0">
    <w:p w14:paraId="369E3D1D" w14:textId="77777777" w:rsidR="00225418" w:rsidRDefault="00225418" w:rsidP="002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5389"/>
    <w:rsid w:val="00225418"/>
    <w:rsid w:val="004F5389"/>
    <w:rsid w:val="0069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0EF3"/>
  <w15:chartTrackingRefBased/>
  <w15:docId w15:val="{6A887E1F-D21D-4606-8DCA-EFD82550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418"/>
    <w:pPr>
      <w:widowControl w:val="0"/>
      <w:jc w:val="both"/>
    </w:pPr>
    <w:rPr>
      <w:rFonts w:ascii="Calibri" w:eastAsia="宋体" w:hAnsi="Calibri" w:cs="Times New Roman"/>
      <w:szCs w:val="24"/>
      <w14:ligatures w14:val="none"/>
    </w:rPr>
  </w:style>
  <w:style w:type="paragraph" w:styleId="1">
    <w:name w:val="heading 1"/>
    <w:basedOn w:val="a"/>
    <w:next w:val="a"/>
    <w:link w:val="10"/>
    <w:uiPriority w:val="9"/>
    <w:qFormat/>
    <w:rsid w:val="004F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38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3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3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F53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389"/>
    <w:rPr>
      <w:rFonts w:cstheme="majorBidi"/>
      <w:color w:val="2F5496" w:themeColor="accent1" w:themeShade="BF"/>
      <w:sz w:val="28"/>
      <w:szCs w:val="28"/>
    </w:rPr>
  </w:style>
  <w:style w:type="character" w:customStyle="1" w:styleId="50">
    <w:name w:val="标题 5 字符"/>
    <w:basedOn w:val="a0"/>
    <w:link w:val="5"/>
    <w:uiPriority w:val="9"/>
    <w:semiHidden/>
    <w:rsid w:val="004F5389"/>
    <w:rPr>
      <w:rFonts w:cstheme="majorBidi"/>
      <w:color w:val="2F5496" w:themeColor="accent1" w:themeShade="BF"/>
      <w:sz w:val="24"/>
      <w:szCs w:val="24"/>
    </w:rPr>
  </w:style>
  <w:style w:type="character" w:customStyle="1" w:styleId="60">
    <w:name w:val="标题 6 字符"/>
    <w:basedOn w:val="a0"/>
    <w:link w:val="6"/>
    <w:uiPriority w:val="9"/>
    <w:semiHidden/>
    <w:rsid w:val="004F5389"/>
    <w:rPr>
      <w:rFonts w:cstheme="majorBidi"/>
      <w:b/>
      <w:bCs/>
      <w:color w:val="2F5496" w:themeColor="accent1" w:themeShade="BF"/>
    </w:rPr>
  </w:style>
  <w:style w:type="character" w:customStyle="1" w:styleId="70">
    <w:name w:val="标题 7 字符"/>
    <w:basedOn w:val="a0"/>
    <w:link w:val="7"/>
    <w:uiPriority w:val="9"/>
    <w:semiHidden/>
    <w:rsid w:val="004F5389"/>
    <w:rPr>
      <w:rFonts w:cstheme="majorBidi"/>
      <w:b/>
      <w:bCs/>
      <w:color w:val="595959" w:themeColor="text1" w:themeTint="A6"/>
    </w:rPr>
  </w:style>
  <w:style w:type="character" w:customStyle="1" w:styleId="80">
    <w:name w:val="标题 8 字符"/>
    <w:basedOn w:val="a0"/>
    <w:link w:val="8"/>
    <w:uiPriority w:val="9"/>
    <w:semiHidden/>
    <w:rsid w:val="004F5389"/>
    <w:rPr>
      <w:rFonts w:cstheme="majorBidi"/>
      <w:color w:val="595959" w:themeColor="text1" w:themeTint="A6"/>
    </w:rPr>
  </w:style>
  <w:style w:type="character" w:customStyle="1" w:styleId="90">
    <w:name w:val="标题 9 字符"/>
    <w:basedOn w:val="a0"/>
    <w:link w:val="9"/>
    <w:uiPriority w:val="9"/>
    <w:semiHidden/>
    <w:rsid w:val="004F5389"/>
    <w:rPr>
      <w:rFonts w:eastAsiaTheme="majorEastAsia" w:cstheme="majorBidi"/>
      <w:color w:val="595959" w:themeColor="text1" w:themeTint="A6"/>
    </w:rPr>
  </w:style>
  <w:style w:type="paragraph" w:styleId="a3">
    <w:name w:val="Title"/>
    <w:basedOn w:val="a"/>
    <w:next w:val="a"/>
    <w:link w:val="a4"/>
    <w:uiPriority w:val="10"/>
    <w:qFormat/>
    <w:rsid w:val="004F53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3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389"/>
    <w:pPr>
      <w:spacing w:before="160" w:after="160"/>
      <w:jc w:val="center"/>
    </w:pPr>
    <w:rPr>
      <w:i/>
      <w:iCs/>
      <w:color w:val="404040" w:themeColor="text1" w:themeTint="BF"/>
    </w:rPr>
  </w:style>
  <w:style w:type="character" w:customStyle="1" w:styleId="a8">
    <w:name w:val="引用 字符"/>
    <w:basedOn w:val="a0"/>
    <w:link w:val="a7"/>
    <w:uiPriority w:val="29"/>
    <w:rsid w:val="004F5389"/>
    <w:rPr>
      <w:i/>
      <w:iCs/>
      <w:color w:val="404040" w:themeColor="text1" w:themeTint="BF"/>
    </w:rPr>
  </w:style>
  <w:style w:type="paragraph" w:styleId="a9">
    <w:name w:val="List Paragraph"/>
    <w:basedOn w:val="a"/>
    <w:uiPriority w:val="34"/>
    <w:qFormat/>
    <w:rsid w:val="004F5389"/>
    <w:pPr>
      <w:ind w:left="720"/>
      <w:contextualSpacing/>
    </w:pPr>
  </w:style>
  <w:style w:type="character" w:styleId="aa">
    <w:name w:val="Intense Emphasis"/>
    <w:basedOn w:val="a0"/>
    <w:uiPriority w:val="21"/>
    <w:qFormat/>
    <w:rsid w:val="004F5389"/>
    <w:rPr>
      <w:i/>
      <w:iCs/>
      <w:color w:val="2F5496" w:themeColor="accent1" w:themeShade="BF"/>
    </w:rPr>
  </w:style>
  <w:style w:type="paragraph" w:styleId="ab">
    <w:name w:val="Intense Quote"/>
    <w:basedOn w:val="a"/>
    <w:next w:val="a"/>
    <w:link w:val="ac"/>
    <w:uiPriority w:val="30"/>
    <w:qFormat/>
    <w:rsid w:val="004F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389"/>
    <w:rPr>
      <w:i/>
      <w:iCs/>
      <w:color w:val="2F5496" w:themeColor="accent1" w:themeShade="BF"/>
    </w:rPr>
  </w:style>
  <w:style w:type="character" w:styleId="ad">
    <w:name w:val="Intense Reference"/>
    <w:basedOn w:val="a0"/>
    <w:uiPriority w:val="32"/>
    <w:qFormat/>
    <w:rsid w:val="004F5389"/>
    <w:rPr>
      <w:b/>
      <w:bCs/>
      <w:smallCaps/>
      <w:color w:val="2F5496" w:themeColor="accent1" w:themeShade="BF"/>
      <w:spacing w:val="5"/>
    </w:rPr>
  </w:style>
  <w:style w:type="paragraph" w:styleId="ae">
    <w:name w:val="header"/>
    <w:basedOn w:val="a"/>
    <w:link w:val="af"/>
    <w:uiPriority w:val="99"/>
    <w:unhideWhenUsed/>
    <w:rsid w:val="00225418"/>
    <w:pPr>
      <w:tabs>
        <w:tab w:val="center" w:pos="4153"/>
        <w:tab w:val="right" w:pos="8306"/>
      </w:tabs>
      <w:snapToGrid w:val="0"/>
      <w:jc w:val="center"/>
    </w:pPr>
    <w:rPr>
      <w:sz w:val="18"/>
      <w:szCs w:val="18"/>
    </w:rPr>
  </w:style>
  <w:style w:type="character" w:customStyle="1" w:styleId="af">
    <w:name w:val="页眉 字符"/>
    <w:basedOn w:val="a0"/>
    <w:link w:val="ae"/>
    <w:uiPriority w:val="99"/>
    <w:rsid w:val="00225418"/>
    <w:rPr>
      <w:sz w:val="18"/>
      <w:szCs w:val="18"/>
    </w:rPr>
  </w:style>
  <w:style w:type="paragraph" w:styleId="af0">
    <w:name w:val="footer"/>
    <w:basedOn w:val="a"/>
    <w:link w:val="af1"/>
    <w:uiPriority w:val="99"/>
    <w:unhideWhenUsed/>
    <w:rsid w:val="00225418"/>
    <w:pPr>
      <w:tabs>
        <w:tab w:val="center" w:pos="4153"/>
        <w:tab w:val="right" w:pos="8306"/>
      </w:tabs>
      <w:snapToGrid w:val="0"/>
      <w:jc w:val="left"/>
    </w:pPr>
    <w:rPr>
      <w:sz w:val="18"/>
      <w:szCs w:val="18"/>
    </w:rPr>
  </w:style>
  <w:style w:type="character" w:customStyle="1" w:styleId="af1">
    <w:name w:val="页脚 字符"/>
    <w:basedOn w:val="a0"/>
    <w:link w:val="af0"/>
    <w:uiPriority w:val="99"/>
    <w:rsid w:val="002254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changcity</dc:creator>
  <cp:keywords/>
  <dc:description/>
  <cp:lastModifiedBy>changcity</cp:lastModifiedBy>
  <cp:revision>2</cp:revision>
  <dcterms:created xsi:type="dcterms:W3CDTF">2024-04-03T02:20:00Z</dcterms:created>
  <dcterms:modified xsi:type="dcterms:W3CDTF">2024-04-03T02:21:00Z</dcterms:modified>
</cp:coreProperties>
</file>